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387" w:rsidRDefault="00AF4387" w:rsidP="00AF4387">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300EC3FC" wp14:editId="41817177">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387" w:rsidRDefault="00AF4387" w:rsidP="00AF4387">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AF4387" w:rsidRDefault="00AF4387" w:rsidP="00AF4387">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AF4387" w:rsidRDefault="00AF4387" w:rsidP="00AF4387">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AF4387" w:rsidRDefault="00AF4387" w:rsidP="00AF4387">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AF4387" w:rsidRDefault="00AF4387" w:rsidP="00AF4387">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AF4387" w:rsidRDefault="00AF4387" w:rsidP="00AF4387">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1DEAB0AF" wp14:editId="4F88E3DE">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1C0DBC" w:rsidRPr="00775D99" w:rsidRDefault="001C0DBC" w:rsidP="00775D99">
      <w:pPr>
        <w:spacing w:line="240" w:lineRule="auto"/>
        <w:jc w:val="center"/>
        <w:rPr>
          <w:rFonts w:ascii="Times New Roman" w:hAnsi="Times New Roman" w:cs="Times New Roman"/>
          <w:i/>
          <w:sz w:val="24"/>
          <w:szCs w:val="24"/>
          <w:u w:val="single"/>
          <w:shd w:val="clear" w:color="auto" w:fill="FFFFFF"/>
          <w:lang w:val="uk-UA"/>
        </w:rPr>
      </w:pPr>
      <w:bookmarkStart w:id="1" w:name="_GoBack"/>
      <w:r w:rsidRPr="00775D99">
        <w:rPr>
          <w:rFonts w:ascii="Times New Roman" w:hAnsi="Times New Roman" w:cs="Times New Roman"/>
          <w:b/>
          <w:sz w:val="24"/>
          <w:szCs w:val="24"/>
          <w:shd w:val="clear" w:color="auto" w:fill="FFFFFF"/>
          <w:lang w:val="uk-UA"/>
        </w:rPr>
        <w:t>Чи включається до складу загального місячного (річного) оподатковуваного доходу платника податку вартість проїзду, проживання та харчування учасників спортивних заходів?</w:t>
      </w:r>
    </w:p>
    <w:p w:rsidR="004A64BE" w:rsidRPr="00775D99" w:rsidRDefault="001C0DBC" w:rsidP="00775D99">
      <w:pPr>
        <w:spacing w:line="240" w:lineRule="auto"/>
        <w:jc w:val="both"/>
        <w:rPr>
          <w:rFonts w:ascii="Times New Roman" w:hAnsi="Times New Roman" w:cs="Times New Roman"/>
          <w:i/>
          <w:sz w:val="24"/>
          <w:szCs w:val="24"/>
          <w:u w:val="single"/>
          <w:shd w:val="clear" w:color="auto" w:fill="FFFFFF"/>
          <w:lang w:val="uk-UA"/>
        </w:rPr>
      </w:pPr>
      <w:r w:rsidRPr="00775D99">
        <w:rPr>
          <w:rFonts w:ascii="Times New Roman" w:hAnsi="Times New Roman" w:cs="Times New Roman"/>
          <w:i/>
          <w:sz w:val="24"/>
          <w:szCs w:val="24"/>
          <w:u w:val="single"/>
          <w:shd w:val="clear" w:color="auto" w:fill="FFFFFF"/>
          <w:lang w:val="uk-UA"/>
        </w:rPr>
        <w:t>Чи включається до складу загального місячного (річного) оподатковуваного доходу платника податку вартість проїзду, проживання та харчування учасників спортивних заходів – спортсменів – осіб з інвалідністю під час проведення тренувань, змагань або навчально-тренувальних зборів та за якою ознакою відображаються дані виплати в додатку 4ДФ до Розрахунку?</w:t>
      </w:r>
    </w:p>
    <w:p w:rsidR="001C0DBC" w:rsidRPr="00775D99" w:rsidRDefault="001C0DBC" w:rsidP="00775D99">
      <w:pPr>
        <w:spacing w:after="0" w:line="240" w:lineRule="auto"/>
        <w:ind w:firstLine="567"/>
        <w:jc w:val="both"/>
        <w:rPr>
          <w:rFonts w:ascii="Times New Roman" w:hAnsi="Times New Roman" w:cs="Times New Roman"/>
          <w:sz w:val="24"/>
          <w:szCs w:val="24"/>
          <w:lang w:val="uk-UA"/>
        </w:rPr>
      </w:pPr>
      <w:r w:rsidRPr="00775D99">
        <w:rPr>
          <w:rFonts w:ascii="Times New Roman" w:hAnsi="Times New Roman" w:cs="Times New Roman"/>
          <w:sz w:val="24"/>
          <w:szCs w:val="24"/>
          <w:shd w:val="clear" w:color="auto" w:fill="FFFFFF"/>
          <w:lang w:val="uk-UA"/>
        </w:rPr>
        <w:t>Загальні правові, організаційні, соціальні та економічні основи діяльності у сфері фізичної культури і спорту визначено Законом України від 24 грудня 1993 року № 3808-ХІІ «Про фізичну культуру і спорт» із змінами та доповненнями (далі – Закон № 3808) відповідно до ст. 47 якого фінансування розвитку фізичної культури і спорту здійснюється відповідно до Закону № 3808 та інших нормативно-правових актів за рахунок коштів відповідного державного та місцевого бюджетів, а також інших джерел, не заборонених законодавством.</w:t>
      </w:r>
    </w:p>
    <w:p w:rsidR="001C0DBC" w:rsidRPr="00775D99" w:rsidRDefault="001C0DBC" w:rsidP="00775D99">
      <w:pPr>
        <w:spacing w:after="0" w:line="240" w:lineRule="auto"/>
        <w:ind w:firstLine="567"/>
        <w:jc w:val="both"/>
        <w:rPr>
          <w:rFonts w:ascii="Times New Roman" w:hAnsi="Times New Roman" w:cs="Times New Roman"/>
          <w:sz w:val="24"/>
          <w:szCs w:val="24"/>
          <w:lang w:val="uk-UA"/>
        </w:rPr>
      </w:pPr>
      <w:r w:rsidRPr="00775D99">
        <w:rPr>
          <w:rFonts w:ascii="Times New Roman" w:hAnsi="Times New Roman" w:cs="Times New Roman"/>
          <w:sz w:val="24"/>
          <w:szCs w:val="24"/>
          <w:shd w:val="clear" w:color="auto" w:fill="FFFFFF"/>
          <w:lang w:val="uk-UA"/>
        </w:rPr>
        <w:t xml:space="preserve">Оподаткування доходів фізичних осіб регламентується </w:t>
      </w:r>
      <w:proofErr w:type="spellStart"/>
      <w:r w:rsidRPr="00775D99">
        <w:rPr>
          <w:rFonts w:ascii="Times New Roman" w:hAnsi="Times New Roman" w:cs="Times New Roman"/>
          <w:sz w:val="24"/>
          <w:szCs w:val="24"/>
          <w:shd w:val="clear" w:color="auto" w:fill="FFFFFF"/>
          <w:lang w:val="uk-UA"/>
        </w:rPr>
        <w:t>розд</w:t>
      </w:r>
      <w:proofErr w:type="spellEnd"/>
      <w:r w:rsidRPr="00775D99">
        <w:rPr>
          <w:rFonts w:ascii="Times New Roman" w:hAnsi="Times New Roman" w:cs="Times New Roman"/>
          <w:sz w:val="24"/>
          <w:szCs w:val="24"/>
          <w:shd w:val="clear" w:color="auto" w:fill="FFFFFF"/>
          <w:lang w:val="uk-UA"/>
        </w:rPr>
        <w:t xml:space="preserve">. IV Податкового кодексу України від 02 грудня 2010 року № 2755-VІ із змінами та доповненнями (далі – ПКУ), відповідно до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162.1.1 п. 162.1 ст. 162 ПКУ платниками податку є фізичні особи – резиденти, які отримують доходи з джерела їх походження в Україні.</w:t>
      </w:r>
    </w:p>
    <w:p w:rsidR="001C0DBC" w:rsidRPr="00775D99" w:rsidRDefault="001C0DBC" w:rsidP="00775D99">
      <w:pPr>
        <w:spacing w:after="0" w:line="240" w:lineRule="auto"/>
        <w:ind w:firstLine="567"/>
        <w:jc w:val="both"/>
        <w:rPr>
          <w:rFonts w:ascii="Times New Roman" w:hAnsi="Times New Roman" w:cs="Times New Roman"/>
          <w:sz w:val="24"/>
          <w:szCs w:val="24"/>
          <w:lang w:val="uk-UA"/>
        </w:rPr>
      </w:pPr>
      <w:r w:rsidRPr="00775D99">
        <w:rPr>
          <w:rFonts w:ascii="Times New Roman" w:hAnsi="Times New Roman" w:cs="Times New Roman"/>
          <w:sz w:val="24"/>
          <w:szCs w:val="24"/>
          <w:shd w:val="clear" w:color="auto" w:fill="FFFFFF"/>
          <w:lang w:val="uk-UA"/>
        </w:rPr>
        <w:t xml:space="preserve">Згідно з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163.1.1 п. 163.1 ст. 163 ПКУ об’єктом оподаткування резидента є загальний місячний (річний) оподатковуваний дохід.</w:t>
      </w:r>
    </w:p>
    <w:p w:rsidR="001C0DBC" w:rsidRPr="00775D99" w:rsidRDefault="001C0DBC" w:rsidP="00775D99">
      <w:pPr>
        <w:spacing w:after="0" w:line="240" w:lineRule="auto"/>
        <w:ind w:firstLine="567"/>
        <w:jc w:val="both"/>
        <w:rPr>
          <w:rFonts w:ascii="Times New Roman" w:hAnsi="Times New Roman" w:cs="Times New Roman"/>
          <w:sz w:val="24"/>
          <w:szCs w:val="24"/>
          <w:lang w:val="uk-UA"/>
        </w:rPr>
      </w:pPr>
      <w:r w:rsidRPr="00775D99">
        <w:rPr>
          <w:rFonts w:ascii="Times New Roman" w:hAnsi="Times New Roman" w:cs="Times New Roman"/>
          <w:sz w:val="24"/>
          <w:szCs w:val="24"/>
          <w:shd w:val="clear" w:color="auto" w:fill="FFFFFF"/>
          <w:lang w:val="uk-UA"/>
        </w:rPr>
        <w:t>Перелік доходів, що не включаються до загального місячного (річного) оподатковуваного доходу платника податку визначено ст. 165 ПКУ.</w:t>
      </w:r>
    </w:p>
    <w:p w:rsidR="001C0DBC" w:rsidRPr="00775D99" w:rsidRDefault="001C0DBC" w:rsidP="00775D99">
      <w:pPr>
        <w:spacing w:after="0" w:line="240" w:lineRule="auto"/>
        <w:ind w:firstLine="567"/>
        <w:jc w:val="both"/>
        <w:rPr>
          <w:rFonts w:ascii="Times New Roman" w:hAnsi="Times New Roman" w:cs="Times New Roman"/>
          <w:sz w:val="24"/>
          <w:szCs w:val="24"/>
          <w:lang w:val="uk-UA"/>
        </w:rPr>
      </w:pPr>
      <w:r w:rsidRPr="00775D99">
        <w:rPr>
          <w:rFonts w:ascii="Times New Roman" w:hAnsi="Times New Roman" w:cs="Times New Roman"/>
          <w:sz w:val="24"/>
          <w:szCs w:val="24"/>
          <w:shd w:val="clear" w:color="auto" w:fill="FFFFFF"/>
          <w:lang w:val="uk-UA"/>
        </w:rPr>
        <w:t xml:space="preserve">Так, згідно з абзацом першим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165.1.42 п. 165.1 ст. 165 ПКУ до складу загального місячного (річного) оподатковуваного доходу платника податку не включаються суми коштів, надані благодійними організаціями, громадськими об’єднаннями, включеними до Реєстру неприбуткових установ та організацій, всеукраїнськими громадськими об’єднаннями осіб з інвалідністю та їх спілками платникам податку – учасникам конгресів, симпозіумів, зборів, конференцій, пленумів, з’їздів, фестивалів, виставок, концертів, реабілітаційних заходів, фізкультурно-спортивних заходів, конкурсів, тренінгів та семінарів, які провадяться такими організаціями, як компенсація витрат на проживання, харчування та проїзд до місця проведення заходів та у зворотному напрямку.</w:t>
      </w:r>
    </w:p>
    <w:p w:rsidR="001C0DBC" w:rsidRPr="00775D99" w:rsidRDefault="001C0DBC" w:rsidP="00775D99">
      <w:pPr>
        <w:spacing w:after="0" w:line="240" w:lineRule="auto"/>
        <w:ind w:firstLine="567"/>
        <w:jc w:val="both"/>
        <w:rPr>
          <w:rFonts w:ascii="Times New Roman" w:hAnsi="Times New Roman" w:cs="Times New Roman"/>
          <w:sz w:val="24"/>
          <w:szCs w:val="24"/>
          <w:lang w:val="uk-UA"/>
        </w:rPr>
      </w:pPr>
      <w:r w:rsidRPr="00775D99">
        <w:rPr>
          <w:rFonts w:ascii="Times New Roman" w:hAnsi="Times New Roman" w:cs="Times New Roman"/>
          <w:sz w:val="24"/>
          <w:szCs w:val="24"/>
          <w:shd w:val="clear" w:color="auto" w:fill="FFFFFF"/>
          <w:lang w:val="uk-UA"/>
        </w:rPr>
        <w:t xml:space="preserve">Зазначені в абзаці першому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xml:space="preserve">. 165.1.42 п. 165.1 ст. 165 ПКУ витрати не включаються до загального місячного (річного) оподатковуваного доходу платника податку в межах норм відшкодування витрат на відрядження, встановлених для державних службовців і працівників підприємств, установ та організацій, що повністю або частково утримуються (фінансуються) за рахунок бюджетних коштів (абзац другий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165.1.42 п. 165.1 ст. 165 ПКУ).</w:t>
      </w:r>
    </w:p>
    <w:p w:rsidR="001C0DBC" w:rsidRPr="00775D99" w:rsidRDefault="001C0DBC" w:rsidP="00775D99">
      <w:pPr>
        <w:spacing w:after="0" w:line="240" w:lineRule="auto"/>
        <w:ind w:firstLine="567"/>
        <w:jc w:val="both"/>
        <w:rPr>
          <w:rFonts w:ascii="Times New Roman" w:hAnsi="Times New Roman" w:cs="Times New Roman"/>
          <w:sz w:val="24"/>
          <w:szCs w:val="24"/>
          <w:lang w:val="uk-UA"/>
        </w:rPr>
      </w:pPr>
      <w:r w:rsidRPr="00775D99">
        <w:rPr>
          <w:rFonts w:ascii="Times New Roman" w:hAnsi="Times New Roman" w:cs="Times New Roman"/>
          <w:sz w:val="24"/>
          <w:szCs w:val="24"/>
          <w:shd w:val="clear" w:color="auto" w:fill="FFFFFF"/>
          <w:lang w:val="uk-UA"/>
        </w:rPr>
        <w:t xml:space="preserve">Разом з тим, відповідно до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164.2.17 п. 164.2 ст. 164 ПКУ до загального місячного (річного) оподатковуваного доходу платника податку включається дохід, отриманий платником як додаткове благо (крім випадків, передбачених ст. 165 ПКУ) у вигляді:</w:t>
      </w:r>
    </w:p>
    <w:p w:rsidR="001C0DBC" w:rsidRPr="00775D99" w:rsidRDefault="001C0DBC" w:rsidP="00775D99">
      <w:pPr>
        <w:spacing w:after="0" w:line="240" w:lineRule="auto"/>
        <w:ind w:firstLine="567"/>
        <w:jc w:val="both"/>
        <w:rPr>
          <w:rFonts w:ascii="Times New Roman" w:hAnsi="Times New Roman" w:cs="Times New Roman"/>
          <w:sz w:val="24"/>
          <w:szCs w:val="24"/>
          <w:lang w:val="uk-UA"/>
        </w:rPr>
      </w:pPr>
      <w:r w:rsidRPr="00775D99">
        <w:rPr>
          <w:rFonts w:ascii="Times New Roman" w:hAnsi="Times New Roman" w:cs="Times New Roman"/>
          <w:sz w:val="24"/>
          <w:szCs w:val="24"/>
          <w:shd w:val="clear" w:color="auto" w:fill="FFFFFF"/>
          <w:lang w:val="uk-UA"/>
        </w:rPr>
        <w:t xml:space="preserve">суми грошового або майнового відшкодування будь-яких витрат або втрат платника податку, крім тих, що обов’язково відшкодовуються згідно із законом за рахунок бюджету або звільняються від оподаткування згідно з </w:t>
      </w:r>
      <w:proofErr w:type="spellStart"/>
      <w:r w:rsidRPr="00775D99">
        <w:rPr>
          <w:rFonts w:ascii="Times New Roman" w:hAnsi="Times New Roman" w:cs="Times New Roman"/>
          <w:sz w:val="24"/>
          <w:szCs w:val="24"/>
          <w:shd w:val="clear" w:color="auto" w:fill="FFFFFF"/>
          <w:lang w:val="uk-UA"/>
        </w:rPr>
        <w:t>розд</w:t>
      </w:r>
      <w:proofErr w:type="spellEnd"/>
      <w:r w:rsidRPr="00775D99">
        <w:rPr>
          <w:rFonts w:ascii="Times New Roman" w:hAnsi="Times New Roman" w:cs="Times New Roman"/>
          <w:sz w:val="24"/>
          <w:szCs w:val="24"/>
          <w:shd w:val="clear" w:color="auto" w:fill="FFFFFF"/>
          <w:lang w:val="uk-UA"/>
        </w:rPr>
        <w:t>. ІV ПКУ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xml:space="preserve">. «г»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164.2.17 п. 164.2 ст. 164 ПКУ );</w:t>
      </w:r>
    </w:p>
    <w:p w:rsidR="001C0DBC" w:rsidRPr="00775D99" w:rsidRDefault="001C0DBC" w:rsidP="00775D99">
      <w:pPr>
        <w:spacing w:after="0" w:line="240" w:lineRule="auto"/>
        <w:ind w:firstLine="567"/>
        <w:jc w:val="both"/>
        <w:rPr>
          <w:rFonts w:ascii="Times New Roman" w:hAnsi="Times New Roman" w:cs="Times New Roman"/>
          <w:sz w:val="24"/>
          <w:szCs w:val="24"/>
          <w:lang w:val="uk-UA"/>
        </w:rPr>
      </w:pPr>
      <w:r w:rsidRPr="00775D99">
        <w:rPr>
          <w:rFonts w:ascii="Times New Roman" w:hAnsi="Times New Roman" w:cs="Times New Roman"/>
          <w:sz w:val="24"/>
          <w:szCs w:val="24"/>
          <w:shd w:val="clear" w:color="auto" w:fill="FFFFFF"/>
          <w:lang w:val="uk-UA"/>
        </w:rPr>
        <w:lastRenderedPageBreak/>
        <w:t xml:space="preserve">вартості харчування, безоплатно отриманого платником податку, крім випадків, визначених ПКУ для оподаткування прибутку підприємств ( абзац перший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xml:space="preserve">. «б»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164.2.17 п. 164.2 ПКУ).</w:t>
      </w:r>
    </w:p>
    <w:p w:rsidR="001C0DBC" w:rsidRPr="00775D99" w:rsidRDefault="001C0DBC" w:rsidP="00775D99">
      <w:pPr>
        <w:spacing w:after="0" w:line="240" w:lineRule="auto"/>
        <w:ind w:firstLine="567"/>
        <w:jc w:val="both"/>
        <w:rPr>
          <w:rFonts w:ascii="Times New Roman" w:hAnsi="Times New Roman" w:cs="Times New Roman"/>
          <w:sz w:val="24"/>
          <w:szCs w:val="24"/>
          <w:lang w:val="uk-UA"/>
        </w:rPr>
      </w:pPr>
      <w:r w:rsidRPr="00775D99">
        <w:rPr>
          <w:rFonts w:ascii="Times New Roman" w:hAnsi="Times New Roman" w:cs="Times New Roman"/>
          <w:sz w:val="24"/>
          <w:szCs w:val="24"/>
          <w:shd w:val="clear" w:color="auto" w:fill="FFFFFF"/>
          <w:lang w:val="uk-UA"/>
        </w:rPr>
        <w:t xml:space="preserve">Додатково до винятків, передбачених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xml:space="preserve">. «а»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xml:space="preserve">. 164.2.17 п. 164.2 ст. 164 ПКУ не вважаються додатковим благом платника податку одержані кошти, вартість послуг, проживання, проїзду, харчування, спортивного одягу, аксесуарів, взуття та інвентарю, колясок для осіб з інвалідністю, у тому числі які призначені для участі осіб з інвалідністю в фізкультурно-реабілітаційних та спортивних заходах, лікарських та медико-відновлюваних засобів та інших доходів, наданих (виплачених) платнику податку – учаснику спортивних (крім професійного спорту), фізкультурно-оздоровчих заходів, заходів з фізкультурно-оздоровчої діяльності та фізкультурно-спортивної реабілітації, що фінансуються з бюджету та/або бюджетними організаціями, іншими неприбутковими організаціями, внесеними до Реєстру неприбуткових організацій та установ на дату надання таких коштів (абзац другий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xml:space="preserve">. «б»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164.2.17 п. 164.2 ст. 164 ПКУ).</w:t>
      </w:r>
    </w:p>
    <w:p w:rsidR="001C0DBC" w:rsidRPr="00775D99" w:rsidRDefault="001C0DBC" w:rsidP="00775D99">
      <w:pPr>
        <w:spacing w:after="0" w:line="240" w:lineRule="auto"/>
        <w:ind w:firstLine="567"/>
        <w:jc w:val="both"/>
        <w:rPr>
          <w:rFonts w:ascii="Times New Roman" w:hAnsi="Times New Roman" w:cs="Times New Roman"/>
          <w:sz w:val="24"/>
          <w:szCs w:val="24"/>
          <w:lang w:val="uk-UA"/>
        </w:rPr>
      </w:pPr>
      <w:r w:rsidRPr="00775D99">
        <w:rPr>
          <w:rFonts w:ascii="Times New Roman" w:hAnsi="Times New Roman" w:cs="Times New Roman"/>
          <w:sz w:val="24"/>
          <w:szCs w:val="24"/>
          <w:shd w:val="clear" w:color="auto" w:fill="FFFFFF"/>
          <w:lang w:val="uk-UA"/>
        </w:rPr>
        <w:t xml:space="preserve">Також не вважається додатковим благом платника податку сплачена закладом культури вартість товарів та послуг, а саме проїзду, проживання, харчування, охорони, страхування, медичного обслуговування, тренування, що пов’язані з участю такого платника податку у створенні та показі (проведенні) культурних, у тому числі гастрольних, заходів, якщо це передбачено умовами договору з такими платниками податку (абзац четвертий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xml:space="preserve">. «б»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164.2.17 п. 164.2 ст. 164 ПКУ).</w:t>
      </w:r>
    </w:p>
    <w:p w:rsidR="001C0DBC" w:rsidRPr="00775D99" w:rsidRDefault="001C0DBC" w:rsidP="00775D99">
      <w:pPr>
        <w:spacing w:after="0" w:line="240" w:lineRule="auto"/>
        <w:ind w:firstLine="567"/>
        <w:jc w:val="both"/>
        <w:rPr>
          <w:rFonts w:ascii="Times New Roman" w:hAnsi="Times New Roman" w:cs="Times New Roman"/>
          <w:sz w:val="24"/>
          <w:szCs w:val="24"/>
          <w:lang w:val="uk-UA"/>
        </w:rPr>
      </w:pPr>
      <w:r w:rsidRPr="00775D99">
        <w:rPr>
          <w:rFonts w:ascii="Times New Roman" w:hAnsi="Times New Roman" w:cs="Times New Roman"/>
          <w:sz w:val="24"/>
          <w:szCs w:val="24"/>
          <w:shd w:val="clear" w:color="auto" w:fill="FFFFFF"/>
          <w:lang w:val="uk-UA"/>
        </w:rPr>
        <w:t>Водночас, ця норма не містить посилань на те, що доходи, одержані платником податку – учасником спортивних заходів у вигляді, зокрема, проживання, проїзду, харчування, не оподатковуються податком на доходи фізичних осіб. Зазначене лише вказує, що такі доходи не є додатковим благом.</w:t>
      </w:r>
    </w:p>
    <w:p w:rsidR="001C0DBC" w:rsidRPr="00775D99" w:rsidRDefault="001C0DBC" w:rsidP="00775D99">
      <w:pPr>
        <w:spacing w:after="0" w:line="240" w:lineRule="auto"/>
        <w:ind w:firstLine="567"/>
        <w:jc w:val="both"/>
        <w:rPr>
          <w:rFonts w:ascii="Times New Roman" w:hAnsi="Times New Roman" w:cs="Times New Roman"/>
          <w:sz w:val="24"/>
          <w:szCs w:val="24"/>
          <w:lang w:val="uk-UA"/>
        </w:rPr>
      </w:pPr>
      <w:r w:rsidRPr="00775D99">
        <w:rPr>
          <w:rFonts w:ascii="Times New Roman" w:hAnsi="Times New Roman" w:cs="Times New Roman"/>
          <w:sz w:val="24"/>
          <w:szCs w:val="24"/>
          <w:shd w:val="clear" w:color="auto" w:fill="FFFFFF"/>
          <w:lang w:val="uk-UA"/>
        </w:rPr>
        <w:t xml:space="preserve">Згідно з </w:t>
      </w:r>
      <w:proofErr w:type="spellStart"/>
      <w:r w:rsidRPr="00775D99">
        <w:rPr>
          <w:rFonts w:ascii="Times New Roman" w:hAnsi="Times New Roman" w:cs="Times New Roman"/>
          <w:sz w:val="24"/>
          <w:szCs w:val="24"/>
          <w:shd w:val="clear" w:color="auto" w:fill="FFFFFF"/>
          <w:lang w:val="uk-UA"/>
        </w:rPr>
        <w:t>п.п</w:t>
      </w:r>
      <w:proofErr w:type="spellEnd"/>
      <w:r w:rsidRPr="00775D99">
        <w:rPr>
          <w:rFonts w:ascii="Times New Roman" w:hAnsi="Times New Roman" w:cs="Times New Roman"/>
          <w:sz w:val="24"/>
          <w:szCs w:val="24"/>
          <w:shd w:val="clear" w:color="auto" w:fill="FFFFFF"/>
          <w:lang w:val="uk-UA"/>
        </w:rPr>
        <w:t>. 164.2.20 п. 164.2 ст. 164 ПКУ до загального місячного (річного) оподатковуваного доходу платника податку включаються інші доходи, крім зазначених у ст. 165 ПКУ.</w:t>
      </w:r>
    </w:p>
    <w:p w:rsidR="001C0DBC" w:rsidRPr="00775D99" w:rsidRDefault="001C0DBC" w:rsidP="00775D99">
      <w:pPr>
        <w:spacing w:after="0" w:line="240" w:lineRule="auto"/>
        <w:ind w:firstLine="567"/>
        <w:jc w:val="both"/>
        <w:rPr>
          <w:rFonts w:ascii="Times New Roman" w:hAnsi="Times New Roman" w:cs="Times New Roman"/>
          <w:sz w:val="24"/>
          <w:szCs w:val="24"/>
          <w:lang w:val="uk-UA"/>
        </w:rPr>
      </w:pPr>
      <w:r w:rsidRPr="00775D99">
        <w:rPr>
          <w:rFonts w:ascii="Times New Roman" w:hAnsi="Times New Roman" w:cs="Times New Roman"/>
          <w:sz w:val="24"/>
          <w:szCs w:val="24"/>
          <w:shd w:val="clear" w:color="auto" w:fill="FFFFFF"/>
          <w:lang w:val="uk-UA"/>
        </w:rPr>
        <w:t>Наказом Міністерства фінансів України від 13.01.2015 № 4 із змінами та доповненнями затверджені форма Податкового розрахунку сум доходу, нарахованого (сплаченого) на користь платників податків – фізичних осіб, і сум утриманого з них податку, а також сум нарахованого єдиного внеску (далі – Розрахунок) та Порядок заповнення та подання податковими агентами Податкового розрахунку сум доходу, нарахованого (сплаченого) на користь платників податків – фізичних осіб, і сум утриманого з них податку, а також сум нарахованого єдиного внеску (далі – Порядок).</w:t>
      </w:r>
    </w:p>
    <w:p w:rsidR="001C0DBC" w:rsidRPr="00775D99" w:rsidRDefault="001C0DBC" w:rsidP="00775D99">
      <w:pPr>
        <w:spacing w:after="0" w:line="240" w:lineRule="auto"/>
        <w:ind w:firstLine="567"/>
        <w:jc w:val="both"/>
        <w:rPr>
          <w:rFonts w:ascii="Times New Roman" w:hAnsi="Times New Roman" w:cs="Times New Roman"/>
          <w:sz w:val="24"/>
          <w:szCs w:val="24"/>
          <w:lang w:val="uk-UA"/>
        </w:rPr>
      </w:pPr>
      <w:r w:rsidRPr="00775D99">
        <w:rPr>
          <w:rFonts w:ascii="Times New Roman" w:hAnsi="Times New Roman" w:cs="Times New Roman"/>
          <w:sz w:val="24"/>
          <w:szCs w:val="24"/>
          <w:shd w:val="clear" w:color="auto" w:fill="FFFFFF"/>
          <w:lang w:val="uk-UA"/>
        </w:rPr>
        <w:t xml:space="preserve">Порядок заповнення показників додатка 4 «Відомості про суми нарахованого доходу, утриманого та сплаченого податку на доходи фізичних осіб та військового збору» (додаток 4ДФ) до Розрахунку визначений п. 4 </w:t>
      </w:r>
      <w:proofErr w:type="spellStart"/>
      <w:r w:rsidRPr="00775D99">
        <w:rPr>
          <w:rFonts w:ascii="Times New Roman" w:hAnsi="Times New Roman" w:cs="Times New Roman"/>
          <w:sz w:val="24"/>
          <w:szCs w:val="24"/>
          <w:shd w:val="clear" w:color="auto" w:fill="FFFFFF"/>
          <w:lang w:val="uk-UA"/>
        </w:rPr>
        <w:t>розд</w:t>
      </w:r>
      <w:proofErr w:type="spellEnd"/>
      <w:r w:rsidRPr="00775D99">
        <w:rPr>
          <w:rFonts w:ascii="Times New Roman" w:hAnsi="Times New Roman" w:cs="Times New Roman"/>
          <w:sz w:val="24"/>
          <w:szCs w:val="24"/>
          <w:shd w:val="clear" w:color="auto" w:fill="FFFFFF"/>
          <w:lang w:val="uk-UA"/>
        </w:rPr>
        <w:t>. IV Порядку.</w:t>
      </w:r>
    </w:p>
    <w:p w:rsidR="001C0DBC" w:rsidRPr="00775D99" w:rsidRDefault="001C0DBC" w:rsidP="00775D99">
      <w:pPr>
        <w:spacing w:after="0" w:line="240" w:lineRule="auto"/>
        <w:ind w:firstLine="567"/>
        <w:jc w:val="both"/>
        <w:rPr>
          <w:rFonts w:ascii="Times New Roman" w:hAnsi="Times New Roman" w:cs="Times New Roman"/>
          <w:sz w:val="24"/>
          <w:szCs w:val="24"/>
          <w:shd w:val="clear" w:color="auto" w:fill="FFFFFF"/>
          <w:lang w:val="uk-UA"/>
        </w:rPr>
      </w:pPr>
      <w:r w:rsidRPr="00775D99">
        <w:rPr>
          <w:rFonts w:ascii="Times New Roman" w:hAnsi="Times New Roman" w:cs="Times New Roman"/>
          <w:sz w:val="24"/>
          <w:szCs w:val="24"/>
          <w:shd w:val="clear" w:color="auto" w:fill="FFFFFF"/>
          <w:lang w:val="uk-UA"/>
        </w:rPr>
        <w:t>З метою уникнення неоднозначного тлумачення норм податкового законодавства кожний конкретний випадок оподаткування доходу фізичних осіб слід розглядати з урахуванням документів, що пов’язані з отриманням таких доходів.</w:t>
      </w:r>
    </w:p>
    <w:p w:rsidR="00AF4387" w:rsidRPr="00775D99" w:rsidRDefault="00AF4387" w:rsidP="00775D99">
      <w:pPr>
        <w:spacing w:line="240" w:lineRule="auto"/>
        <w:ind w:firstLine="567"/>
        <w:rPr>
          <w:rFonts w:ascii="Times New Roman" w:eastAsia="Times New Roman" w:hAnsi="Times New Roman" w:cs="Times New Roman"/>
          <w:sz w:val="24"/>
          <w:szCs w:val="24"/>
          <w:lang w:eastAsia="ru-RU"/>
        </w:rPr>
      </w:pPr>
      <w:r w:rsidRPr="00775D99">
        <w:rPr>
          <w:rFonts w:ascii="Times New Roman" w:hAnsi="Times New Roman" w:cs="Times New Roman"/>
          <w:sz w:val="24"/>
          <w:szCs w:val="24"/>
          <w:shd w:val="clear" w:color="auto" w:fill="FFFFFF"/>
        </w:rPr>
        <w:t xml:space="preserve">За </w:t>
      </w:r>
      <w:proofErr w:type="spellStart"/>
      <w:r w:rsidRPr="00775D99">
        <w:rPr>
          <w:rFonts w:ascii="Times New Roman" w:hAnsi="Times New Roman" w:cs="Times New Roman"/>
          <w:sz w:val="24"/>
          <w:szCs w:val="24"/>
          <w:shd w:val="clear" w:color="auto" w:fill="FFFFFF"/>
        </w:rPr>
        <w:t>інформацією</w:t>
      </w:r>
      <w:proofErr w:type="spellEnd"/>
      <w:r w:rsidRPr="00775D99">
        <w:rPr>
          <w:rFonts w:ascii="Times New Roman" w:hAnsi="Times New Roman" w:cs="Times New Roman"/>
          <w:sz w:val="24"/>
          <w:szCs w:val="24"/>
          <w:shd w:val="clear" w:color="auto" w:fill="FFFFFF"/>
        </w:rPr>
        <w:t xml:space="preserve"> </w:t>
      </w:r>
      <w:proofErr w:type="spellStart"/>
      <w:r w:rsidRPr="00775D99">
        <w:rPr>
          <w:rFonts w:ascii="Times New Roman" w:hAnsi="Times New Roman" w:cs="Times New Roman"/>
          <w:sz w:val="24"/>
          <w:szCs w:val="24"/>
          <w:shd w:val="clear" w:color="auto" w:fill="FFFFFF"/>
        </w:rPr>
        <w:t>загальнодоступного</w:t>
      </w:r>
      <w:proofErr w:type="spellEnd"/>
      <w:r w:rsidRPr="00775D99">
        <w:rPr>
          <w:rFonts w:ascii="Times New Roman" w:hAnsi="Times New Roman" w:cs="Times New Roman"/>
          <w:sz w:val="24"/>
          <w:szCs w:val="24"/>
          <w:shd w:val="clear" w:color="auto" w:fill="FFFFFF"/>
        </w:rPr>
        <w:t xml:space="preserve"> </w:t>
      </w:r>
      <w:proofErr w:type="spellStart"/>
      <w:r w:rsidRPr="00775D99">
        <w:rPr>
          <w:rFonts w:ascii="Times New Roman" w:hAnsi="Times New Roman" w:cs="Times New Roman"/>
          <w:sz w:val="24"/>
          <w:szCs w:val="24"/>
          <w:shd w:val="clear" w:color="auto" w:fill="FFFFFF"/>
        </w:rPr>
        <w:t>інформаційно-довідкового</w:t>
      </w:r>
      <w:proofErr w:type="spellEnd"/>
      <w:r w:rsidRPr="00775D99">
        <w:rPr>
          <w:rFonts w:ascii="Times New Roman" w:hAnsi="Times New Roman" w:cs="Times New Roman"/>
          <w:sz w:val="24"/>
          <w:szCs w:val="24"/>
          <w:shd w:val="clear" w:color="auto" w:fill="FFFFFF"/>
        </w:rPr>
        <w:t xml:space="preserve"> ресурсу.</w:t>
      </w:r>
    </w:p>
    <w:bookmarkEnd w:id="1"/>
    <w:p w:rsidR="00775D99" w:rsidRDefault="00775D99" w:rsidP="00AF4387">
      <w:pPr>
        <w:spacing w:after="0" w:line="240" w:lineRule="auto"/>
        <w:jc w:val="both"/>
        <w:rPr>
          <w:rFonts w:ascii="Times New Roman" w:hAnsi="Times New Roman" w:cs="Times New Roman"/>
          <w:sz w:val="20"/>
          <w:szCs w:val="20"/>
          <w:lang w:val="en-US"/>
        </w:rPr>
      </w:pPr>
    </w:p>
    <w:p w:rsidR="00775D99" w:rsidRDefault="00775D99" w:rsidP="00AF4387">
      <w:pPr>
        <w:spacing w:after="0" w:line="240" w:lineRule="auto"/>
        <w:jc w:val="both"/>
        <w:rPr>
          <w:rFonts w:ascii="Times New Roman" w:hAnsi="Times New Roman" w:cs="Times New Roman"/>
          <w:sz w:val="20"/>
          <w:szCs w:val="20"/>
          <w:lang w:val="en-US"/>
        </w:rPr>
      </w:pPr>
    </w:p>
    <w:p w:rsidR="00775D99" w:rsidRDefault="00775D99" w:rsidP="00AF4387">
      <w:pPr>
        <w:spacing w:after="0" w:line="240" w:lineRule="auto"/>
        <w:jc w:val="both"/>
        <w:rPr>
          <w:rFonts w:ascii="Times New Roman" w:hAnsi="Times New Roman" w:cs="Times New Roman"/>
          <w:sz w:val="20"/>
          <w:szCs w:val="20"/>
          <w:lang w:val="en-US"/>
        </w:rPr>
      </w:pPr>
    </w:p>
    <w:p w:rsidR="00775D99" w:rsidRDefault="00775D99" w:rsidP="00AF4387">
      <w:pPr>
        <w:spacing w:after="0" w:line="240" w:lineRule="auto"/>
        <w:jc w:val="both"/>
        <w:rPr>
          <w:rFonts w:ascii="Times New Roman" w:hAnsi="Times New Roman" w:cs="Times New Roman"/>
          <w:sz w:val="20"/>
          <w:szCs w:val="20"/>
          <w:lang w:val="en-US"/>
        </w:rPr>
      </w:pPr>
    </w:p>
    <w:p w:rsidR="00775D99" w:rsidRDefault="00775D99" w:rsidP="00AF4387">
      <w:pPr>
        <w:spacing w:after="0" w:line="240" w:lineRule="auto"/>
        <w:jc w:val="both"/>
        <w:rPr>
          <w:rFonts w:ascii="Times New Roman" w:hAnsi="Times New Roman" w:cs="Times New Roman"/>
          <w:sz w:val="20"/>
          <w:szCs w:val="20"/>
          <w:lang w:val="en-US"/>
        </w:rPr>
      </w:pPr>
    </w:p>
    <w:p w:rsidR="00775D99" w:rsidRDefault="00775D99" w:rsidP="00AF4387">
      <w:pPr>
        <w:spacing w:after="0" w:line="240" w:lineRule="auto"/>
        <w:jc w:val="both"/>
        <w:rPr>
          <w:rFonts w:ascii="Times New Roman" w:hAnsi="Times New Roman" w:cs="Times New Roman"/>
          <w:sz w:val="20"/>
          <w:szCs w:val="20"/>
          <w:lang w:val="en-US"/>
        </w:rPr>
      </w:pPr>
    </w:p>
    <w:p w:rsidR="00775D99" w:rsidRDefault="00775D99" w:rsidP="00AF4387">
      <w:pPr>
        <w:spacing w:after="0" w:line="240" w:lineRule="auto"/>
        <w:jc w:val="both"/>
        <w:rPr>
          <w:rFonts w:ascii="Times New Roman" w:hAnsi="Times New Roman" w:cs="Times New Roman"/>
          <w:sz w:val="20"/>
          <w:szCs w:val="20"/>
          <w:lang w:val="en-US"/>
        </w:rPr>
      </w:pPr>
    </w:p>
    <w:p w:rsidR="00AF4387" w:rsidRPr="00EA716F" w:rsidRDefault="00AF4387" w:rsidP="00AF4387">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3"/>
            <w:rFonts w:ascii="Times New Roman" w:hAnsi="Times New Roman" w:cs="Times New Roman"/>
            <w:sz w:val="20"/>
            <w:szCs w:val="20"/>
            <w:lang w:val="en-US"/>
          </w:rPr>
          <w:t>ck</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EA716F">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EA716F">
          <w:rPr>
            <w:rStyle w:val="a3"/>
            <w:rFonts w:ascii="Times New Roman" w:hAnsi="Times New Roman" w:cs="Times New Roman"/>
            <w:sz w:val="20"/>
            <w:szCs w:val="20"/>
          </w:rPr>
          <w:t>.</w:t>
        </w:r>
        <w:proofErr w:type="spellStart"/>
        <w:r w:rsidRPr="00EA716F">
          <w:rPr>
            <w:rStyle w:val="a3"/>
            <w:rFonts w:ascii="Times New Roman" w:hAnsi="Times New Roman" w:cs="Times New Roman"/>
            <w:sz w:val="20"/>
            <w:szCs w:val="20"/>
            <w:lang w:val="en-US"/>
          </w:rPr>
          <w:t>ua</w:t>
        </w:r>
        <w:proofErr w:type="spellEnd"/>
      </w:hyperlink>
    </w:p>
    <w:p w:rsidR="00AF4387" w:rsidRPr="00AF4387" w:rsidRDefault="00AF4387" w:rsidP="00AF4387">
      <w:pPr>
        <w:spacing w:after="0" w:line="240" w:lineRule="auto"/>
        <w:jc w:val="both"/>
        <w:rPr>
          <w:rFonts w:ascii="Times New Roman" w:hAnsi="Times New Roman" w:cs="Times New Roman"/>
          <w:sz w:val="24"/>
          <w:szCs w:val="24"/>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sectPr w:rsidR="00AF4387" w:rsidRPr="00AF4387"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DBC"/>
    <w:rsid w:val="001C0DBC"/>
    <w:rsid w:val="004A64BE"/>
    <w:rsid w:val="00751448"/>
    <w:rsid w:val="00775D99"/>
    <w:rsid w:val="00AF43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F4387"/>
    <w:rPr>
      <w:color w:val="0000FF"/>
      <w:u w:val="single"/>
    </w:rPr>
  </w:style>
  <w:style w:type="character" w:customStyle="1" w:styleId="z-label">
    <w:name w:val="z-label"/>
    <w:basedOn w:val="a0"/>
    <w:rsid w:val="00AF4387"/>
  </w:style>
  <w:style w:type="paragraph" w:styleId="a4">
    <w:name w:val="Balloon Text"/>
    <w:basedOn w:val="a"/>
    <w:link w:val="a5"/>
    <w:uiPriority w:val="99"/>
    <w:semiHidden/>
    <w:unhideWhenUsed/>
    <w:rsid w:val="00AF438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F43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F4387"/>
    <w:rPr>
      <w:color w:val="0000FF"/>
      <w:u w:val="single"/>
    </w:rPr>
  </w:style>
  <w:style w:type="character" w:customStyle="1" w:styleId="z-label">
    <w:name w:val="z-label"/>
    <w:basedOn w:val="a0"/>
    <w:rsid w:val="00AF4387"/>
  </w:style>
  <w:style w:type="paragraph" w:styleId="a4">
    <w:name w:val="Balloon Text"/>
    <w:basedOn w:val="a"/>
    <w:link w:val="a5"/>
    <w:uiPriority w:val="99"/>
    <w:semiHidden/>
    <w:unhideWhenUsed/>
    <w:rsid w:val="00AF438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F43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4268</Words>
  <Characters>2433</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2022-09-20T11:09:00Z</dcterms:created>
  <dcterms:modified xsi:type="dcterms:W3CDTF">2022-09-22T06:30:00Z</dcterms:modified>
</cp:coreProperties>
</file>